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095DF0" w14:textId="244A7C10" w:rsidR="002C0C63" w:rsidRPr="00C55DB3" w:rsidRDefault="002C0C63" w:rsidP="0016583A">
      <w:pPr>
        <w:pBdr>
          <w:top w:val="nil"/>
          <w:left w:val="nil"/>
          <w:bottom w:val="nil"/>
          <w:right w:val="nil"/>
          <w:between w:val="nil"/>
        </w:pBdr>
        <w:ind w:right="82"/>
        <w:jc w:val="both"/>
        <w:rPr>
          <w:rFonts w:ascii="Century Gothic" w:eastAsia="Trebuchet MS" w:hAnsi="Century Gothic" w:cstheme="minorHAnsi"/>
          <w:b/>
        </w:rPr>
      </w:pPr>
      <w:bookmarkStart w:id="0" w:name="_heading=h.jvyrhraxpgfi" w:colFirst="0" w:colLast="0"/>
      <w:bookmarkEnd w:id="0"/>
      <w:r w:rsidRPr="00C55DB3">
        <w:rPr>
          <w:rFonts w:ascii="Century Gothic" w:eastAsia="Trebuchet MS" w:hAnsi="Century Gothic" w:cstheme="minorHAnsi"/>
          <w:b/>
        </w:rPr>
        <w:t xml:space="preserve">AVISO DE PRIVACIDAD </w:t>
      </w:r>
      <w:r w:rsidR="0013592C" w:rsidRPr="00C55DB3">
        <w:rPr>
          <w:rFonts w:ascii="Century Gothic" w:eastAsia="Trebuchet MS" w:hAnsi="Century Gothic" w:cstheme="minorHAnsi"/>
          <w:b/>
        </w:rPr>
        <w:t xml:space="preserve">SIMPLIFICADO </w:t>
      </w:r>
      <w:r w:rsidRPr="00C55DB3">
        <w:rPr>
          <w:rFonts w:ascii="Century Gothic" w:eastAsia="Trebuchet MS" w:hAnsi="Century Gothic" w:cstheme="minorHAnsi"/>
          <w:b/>
        </w:rPr>
        <w:t>PARA</w:t>
      </w:r>
      <w:r w:rsidR="000E001D" w:rsidRPr="00C55DB3">
        <w:rPr>
          <w:rFonts w:ascii="Century Gothic" w:eastAsia="Trebuchet MS" w:hAnsi="Century Gothic" w:cstheme="minorHAnsi"/>
          <w:b/>
        </w:rPr>
        <w:t xml:space="preserve"> EL PROCESO DE SOLICITUD DE REVOCACIÓN DE MANDATO DE LA PERSONA TITULAR DE LA GUBERNATURA DEL ESTADO DE OAXACA, PARA EL PERIODO CONSTITUCIONAL 2022-2028.</w:t>
      </w:r>
    </w:p>
    <w:p w14:paraId="5C8BBD16" w14:textId="77777777" w:rsidR="000E001D" w:rsidRPr="00C55DB3" w:rsidRDefault="000E001D" w:rsidP="0016583A">
      <w:pPr>
        <w:pBdr>
          <w:top w:val="nil"/>
          <w:left w:val="nil"/>
          <w:bottom w:val="nil"/>
          <w:right w:val="nil"/>
          <w:between w:val="nil"/>
        </w:pBdr>
        <w:ind w:right="82"/>
        <w:jc w:val="both"/>
        <w:rPr>
          <w:rFonts w:ascii="Century Gothic" w:eastAsia="Trebuchet MS" w:hAnsi="Century Gothic" w:cstheme="minorHAnsi"/>
          <w:b/>
          <w:color w:val="000000"/>
        </w:rPr>
      </w:pPr>
    </w:p>
    <w:p w14:paraId="5345E338" w14:textId="5158B44A" w:rsidR="003A062E" w:rsidRPr="00C55DB3" w:rsidRDefault="00FE2589" w:rsidP="0016583A">
      <w:pPr>
        <w:pBdr>
          <w:top w:val="nil"/>
          <w:left w:val="nil"/>
          <w:bottom w:val="nil"/>
          <w:right w:val="nil"/>
          <w:between w:val="nil"/>
        </w:pBdr>
        <w:ind w:right="82"/>
        <w:jc w:val="both"/>
        <w:rPr>
          <w:rFonts w:ascii="Century Gothic" w:hAnsi="Century Gothic" w:cstheme="minorHAnsi"/>
          <w:color w:val="000000"/>
        </w:rPr>
      </w:pPr>
      <w:r w:rsidRPr="00C55DB3">
        <w:rPr>
          <w:rFonts w:ascii="Century Gothic" w:hAnsi="Century Gothic" w:cstheme="minorHAnsi"/>
          <w:color w:val="000000"/>
        </w:rPr>
        <w:t>El Instituto Estatal Electoral y de Participación Ciudadana de Oaxaca (IEEPCO), con domicilio en Heroica Escuela Naval Militar 1212, y en Gardenias 210, Colonia Reforma, CP 68050 Oaxaca de Juárez, es el responsable del tratamiento de los datos personales que nos proporcione; los cuales serán protegidos conforme a lo dispuesto por la Ley General de Protección de Datos Personales en Posesión de Sujetos Obligados (LGPDPPSO), y demás normatividad aplicable.</w:t>
      </w:r>
    </w:p>
    <w:p w14:paraId="5E78F24A" w14:textId="073FEFB1" w:rsidR="00582BB1" w:rsidRPr="00C55DB3" w:rsidRDefault="00582BB1" w:rsidP="00582BB1">
      <w:pPr>
        <w:tabs>
          <w:tab w:val="left" w:pos="1185"/>
        </w:tabs>
        <w:rPr>
          <w:rFonts w:ascii="Century Gothic" w:eastAsia="Arial" w:hAnsi="Century Gothic" w:cstheme="minorHAnsi"/>
        </w:rPr>
      </w:pPr>
    </w:p>
    <w:p w14:paraId="44965C52" w14:textId="77777777" w:rsidR="00124482" w:rsidRPr="00C55DB3" w:rsidRDefault="00124482" w:rsidP="00124482">
      <w:pPr>
        <w:jc w:val="both"/>
        <w:rPr>
          <w:rFonts w:ascii="Century Gothic" w:hAnsi="Century Gothic" w:cstheme="minorHAnsi"/>
          <w:b/>
          <w:bCs/>
        </w:rPr>
      </w:pPr>
      <w:r w:rsidRPr="00C55DB3">
        <w:rPr>
          <w:rFonts w:ascii="Century Gothic" w:hAnsi="Century Gothic" w:cstheme="minorHAnsi"/>
          <w:b/>
          <w:bCs/>
        </w:rPr>
        <w:t>LOS DATOS PERSONALES QUE USTED PROPORCIONE SERÁN UTILIZADOS PARA LAS SIGUIENTES FINALIDADES:</w:t>
      </w:r>
    </w:p>
    <w:p w14:paraId="2F673A2B" w14:textId="77777777" w:rsidR="00124482" w:rsidRPr="00C55DB3" w:rsidRDefault="00124482" w:rsidP="00124482">
      <w:pPr>
        <w:pBdr>
          <w:top w:val="nil"/>
          <w:left w:val="nil"/>
          <w:bottom w:val="nil"/>
          <w:right w:val="nil"/>
          <w:between w:val="nil"/>
        </w:pBdr>
        <w:tabs>
          <w:tab w:val="left" w:pos="544"/>
        </w:tabs>
        <w:spacing w:before="242"/>
        <w:jc w:val="both"/>
        <w:rPr>
          <w:rFonts w:ascii="Century Gothic" w:hAnsi="Century Gothic" w:cstheme="minorHAnsi"/>
          <w:color w:val="000000"/>
        </w:rPr>
      </w:pPr>
      <w:r w:rsidRPr="00C55DB3">
        <w:rPr>
          <w:rFonts w:ascii="Century Gothic" w:hAnsi="Century Gothic" w:cstheme="minorHAnsi"/>
          <w:color w:val="000000"/>
        </w:rPr>
        <w:t>FINALIDADES PRINCIPALES:</w:t>
      </w:r>
    </w:p>
    <w:p w14:paraId="262F57FE" w14:textId="77777777" w:rsidR="00124482" w:rsidRPr="00C55DB3" w:rsidRDefault="00124482" w:rsidP="00124482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44"/>
        </w:tabs>
        <w:contextualSpacing/>
        <w:rPr>
          <w:rFonts w:ascii="Century Gothic" w:hAnsi="Century Gothic" w:cstheme="minorHAnsi"/>
          <w:color w:val="000000"/>
        </w:rPr>
      </w:pPr>
      <w:r w:rsidRPr="00C55DB3">
        <w:rPr>
          <w:rFonts w:ascii="Century Gothic" w:hAnsi="Century Gothic" w:cstheme="minorHAnsi"/>
          <w:color w:val="000000"/>
        </w:rPr>
        <w:t>Verificar y validar los apoyos ciudadanos para la solicitud de revocación de mandato.</w:t>
      </w:r>
    </w:p>
    <w:p w14:paraId="014F72FC" w14:textId="77777777" w:rsidR="00124482" w:rsidRPr="00C55DB3" w:rsidRDefault="00124482" w:rsidP="00124482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44"/>
        </w:tabs>
        <w:contextualSpacing/>
        <w:rPr>
          <w:rFonts w:ascii="Century Gothic" w:hAnsi="Century Gothic" w:cstheme="minorHAnsi"/>
          <w:color w:val="000000"/>
        </w:rPr>
      </w:pPr>
      <w:r w:rsidRPr="00C55DB3">
        <w:rPr>
          <w:rFonts w:ascii="Century Gothic" w:hAnsi="Century Gothic" w:cstheme="minorHAnsi"/>
          <w:color w:val="000000"/>
        </w:rPr>
        <w:t>Integrar el expediente de respaldo ciudadano conforme a la normativa electoral.</w:t>
      </w:r>
    </w:p>
    <w:p w14:paraId="5FFADA81" w14:textId="77777777" w:rsidR="00124482" w:rsidRPr="00C55DB3" w:rsidRDefault="00124482" w:rsidP="00124482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44"/>
        </w:tabs>
        <w:contextualSpacing/>
        <w:rPr>
          <w:rFonts w:ascii="Century Gothic" w:hAnsi="Century Gothic" w:cstheme="minorHAnsi"/>
          <w:color w:val="000000"/>
        </w:rPr>
      </w:pPr>
      <w:r w:rsidRPr="00C55DB3">
        <w:rPr>
          <w:rFonts w:ascii="Century Gothic" w:hAnsi="Century Gothic" w:cstheme="minorHAnsi"/>
          <w:color w:val="000000"/>
        </w:rPr>
        <w:t>Cumplir con las disposiciones establecidas por el INE y el IEEPCO.</w:t>
      </w:r>
    </w:p>
    <w:p w14:paraId="359D601B" w14:textId="77777777" w:rsidR="00124482" w:rsidRPr="00C55DB3" w:rsidRDefault="00124482" w:rsidP="00124482">
      <w:pPr>
        <w:pBdr>
          <w:top w:val="nil"/>
          <w:left w:val="nil"/>
          <w:bottom w:val="nil"/>
          <w:right w:val="nil"/>
          <w:between w:val="nil"/>
        </w:pBdr>
        <w:tabs>
          <w:tab w:val="left" w:pos="544"/>
        </w:tabs>
        <w:spacing w:before="242"/>
        <w:jc w:val="both"/>
        <w:rPr>
          <w:rFonts w:ascii="Century Gothic" w:hAnsi="Century Gothic" w:cstheme="minorHAnsi"/>
          <w:color w:val="000000"/>
        </w:rPr>
      </w:pPr>
      <w:r w:rsidRPr="00C55DB3">
        <w:rPr>
          <w:rFonts w:ascii="Century Gothic" w:hAnsi="Century Gothic" w:cstheme="minorHAnsi"/>
          <w:color w:val="000000"/>
        </w:rPr>
        <w:t>FINALIDADES SECUNDARIAS:</w:t>
      </w:r>
    </w:p>
    <w:p w14:paraId="717CB78F" w14:textId="77777777" w:rsidR="00124482" w:rsidRPr="00C55DB3" w:rsidRDefault="00124482" w:rsidP="00124482">
      <w:pPr>
        <w:pStyle w:val="Prrafode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44"/>
        </w:tabs>
        <w:contextualSpacing/>
        <w:rPr>
          <w:rFonts w:ascii="Century Gothic" w:hAnsi="Century Gothic" w:cstheme="minorHAnsi"/>
          <w:color w:val="000000"/>
        </w:rPr>
      </w:pPr>
      <w:r w:rsidRPr="00C55DB3">
        <w:rPr>
          <w:rFonts w:ascii="Century Gothic" w:hAnsi="Century Gothic" w:cstheme="minorHAnsi"/>
          <w:color w:val="000000"/>
        </w:rPr>
        <w:t>Elaborar reportes estadísticos sobre participación ciudadana.</w:t>
      </w:r>
    </w:p>
    <w:p w14:paraId="589ADB4A" w14:textId="77777777" w:rsidR="00124482" w:rsidRPr="00C55DB3" w:rsidRDefault="00124482" w:rsidP="00124482">
      <w:pPr>
        <w:pStyle w:val="Prrafode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44"/>
        </w:tabs>
        <w:contextualSpacing/>
        <w:rPr>
          <w:rFonts w:ascii="Century Gothic" w:hAnsi="Century Gothic" w:cstheme="minorHAnsi"/>
          <w:color w:val="000000"/>
        </w:rPr>
      </w:pPr>
      <w:r w:rsidRPr="00C55DB3">
        <w:rPr>
          <w:rFonts w:ascii="Century Gothic" w:hAnsi="Century Gothic" w:cstheme="minorHAnsi"/>
          <w:color w:val="000000"/>
        </w:rPr>
        <w:t>Difundir resultados generales sin incluir datos personales identificables.</w:t>
      </w:r>
    </w:p>
    <w:p w14:paraId="47DB86EA" w14:textId="77777777" w:rsidR="00124482" w:rsidRPr="00C55DB3" w:rsidRDefault="00124482" w:rsidP="00124482">
      <w:pPr>
        <w:pStyle w:val="Prrafodelista"/>
        <w:spacing w:before="0"/>
        <w:ind w:left="720" w:firstLine="0"/>
        <w:rPr>
          <w:rFonts w:ascii="Century Gothic" w:hAnsi="Century Gothic" w:cstheme="minorHAnsi"/>
        </w:rPr>
      </w:pPr>
    </w:p>
    <w:p w14:paraId="4BD3A177" w14:textId="77777777" w:rsidR="00124482" w:rsidRPr="00C55DB3" w:rsidRDefault="00124482" w:rsidP="00124482">
      <w:pPr>
        <w:pBdr>
          <w:top w:val="nil"/>
          <w:left w:val="nil"/>
          <w:bottom w:val="nil"/>
          <w:right w:val="nil"/>
          <w:between w:val="nil"/>
        </w:pBdr>
        <w:ind w:right="49"/>
        <w:jc w:val="both"/>
        <w:rPr>
          <w:rFonts w:ascii="Century Gothic" w:hAnsi="Century Gothic" w:cstheme="minorHAnsi"/>
          <w:b/>
          <w:color w:val="000000"/>
        </w:rPr>
      </w:pPr>
      <w:r w:rsidRPr="00C55DB3">
        <w:rPr>
          <w:rFonts w:ascii="Century Gothic" w:hAnsi="Century Gothic" w:cstheme="minorHAnsi"/>
          <w:b/>
          <w:color w:val="000000"/>
        </w:rPr>
        <w:t>TRANSFERENCIA DE DATOS PERSONALES</w:t>
      </w:r>
    </w:p>
    <w:p w14:paraId="10E61FA2" w14:textId="77777777" w:rsidR="00124482" w:rsidRPr="00C55DB3" w:rsidRDefault="00124482" w:rsidP="00124482">
      <w:pPr>
        <w:pBdr>
          <w:top w:val="nil"/>
          <w:left w:val="nil"/>
          <w:bottom w:val="nil"/>
          <w:right w:val="nil"/>
          <w:between w:val="nil"/>
        </w:pBdr>
        <w:ind w:right="49"/>
        <w:jc w:val="both"/>
        <w:rPr>
          <w:rFonts w:ascii="Century Gothic" w:hAnsi="Century Gothic" w:cstheme="minorHAnsi"/>
          <w:color w:val="000000"/>
        </w:rPr>
      </w:pPr>
      <w:bookmarkStart w:id="1" w:name="_heading=h.yahdw82zbez4" w:colFirst="0" w:colLast="0"/>
      <w:bookmarkEnd w:id="1"/>
    </w:p>
    <w:p w14:paraId="675855AD" w14:textId="77777777" w:rsidR="00124482" w:rsidRPr="00C55DB3" w:rsidRDefault="00124482" w:rsidP="00124482">
      <w:pPr>
        <w:pBdr>
          <w:top w:val="nil"/>
          <w:left w:val="nil"/>
          <w:bottom w:val="nil"/>
          <w:right w:val="nil"/>
          <w:between w:val="nil"/>
        </w:pBdr>
        <w:ind w:right="49"/>
        <w:jc w:val="both"/>
        <w:rPr>
          <w:rFonts w:ascii="Century Gothic" w:hAnsi="Century Gothic" w:cstheme="minorHAnsi"/>
          <w:color w:val="000000"/>
        </w:rPr>
      </w:pPr>
      <w:r w:rsidRPr="00C55DB3">
        <w:rPr>
          <w:rFonts w:ascii="Century Gothic" w:hAnsi="Century Gothic" w:cstheme="minorHAnsi"/>
          <w:color w:val="000000"/>
        </w:rPr>
        <w:t xml:space="preserve">Los datos que nos comparta podrán ser transferidos al Instituto Nacional Electoral (INE) cuando sean necesarios para atender requerimientos solicitados o en su caso a la autoridad competente para el cumplimiento de una obligación, en todo caso la transferencia debe estar debidamente fundada y motivada. El responsable no estará obligado a recabar el consentimiento del titular para el tratamiento de sus datos personales de conformidad con lo previsto en los artículos 16 y 64 de la LGPDPPSO. </w:t>
      </w:r>
    </w:p>
    <w:p w14:paraId="42DBC728" w14:textId="77777777" w:rsidR="00124482" w:rsidRPr="00C55DB3" w:rsidRDefault="00124482" w:rsidP="00124482">
      <w:pPr>
        <w:pBdr>
          <w:top w:val="nil"/>
          <w:left w:val="nil"/>
          <w:bottom w:val="nil"/>
          <w:right w:val="nil"/>
          <w:between w:val="nil"/>
        </w:pBdr>
        <w:ind w:right="49"/>
        <w:jc w:val="both"/>
        <w:rPr>
          <w:rFonts w:ascii="Century Gothic" w:hAnsi="Century Gothic" w:cstheme="minorHAnsi"/>
          <w:b/>
          <w:color w:val="000000"/>
        </w:rPr>
      </w:pPr>
    </w:p>
    <w:p w14:paraId="0474264C" w14:textId="356F1F6B" w:rsidR="00124482" w:rsidRPr="00C55DB3" w:rsidRDefault="00124482" w:rsidP="00124482">
      <w:pPr>
        <w:pBdr>
          <w:top w:val="nil"/>
          <w:left w:val="nil"/>
          <w:bottom w:val="nil"/>
          <w:right w:val="nil"/>
          <w:between w:val="nil"/>
        </w:pBdr>
        <w:ind w:right="49"/>
        <w:jc w:val="both"/>
        <w:rPr>
          <w:rFonts w:ascii="Century Gothic" w:hAnsi="Century Gothic" w:cstheme="minorHAnsi"/>
          <w:color w:val="000000"/>
        </w:rPr>
      </w:pPr>
      <w:r w:rsidRPr="00C55DB3">
        <w:rPr>
          <w:rFonts w:ascii="Century Gothic" w:hAnsi="Century Gothic" w:cstheme="minorHAnsi"/>
          <w:b/>
          <w:color w:val="000000"/>
        </w:rPr>
        <w:t>¿DÓNDE SE PUEDEN EJERCER LOS DERECHOS DE ACCESO, CORRECCIÓN, RECTIFICACIÓN, CANCELACIÓN</w:t>
      </w:r>
      <w:r w:rsidR="00BD497E" w:rsidRPr="00C55DB3">
        <w:rPr>
          <w:rFonts w:ascii="Century Gothic" w:hAnsi="Century Gothic" w:cstheme="minorHAnsi"/>
          <w:b/>
          <w:color w:val="000000"/>
        </w:rPr>
        <w:t xml:space="preserve"> Y </w:t>
      </w:r>
      <w:r w:rsidRPr="00C55DB3">
        <w:rPr>
          <w:rFonts w:ascii="Century Gothic" w:hAnsi="Century Gothic" w:cstheme="minorHAnsi"/>
          <w:b/>
          <w:color w:val="000000"/>
        </w:rPr>
        <w:t>OPOSICIÓN DE DATOS PERSONALES (DERECHOS ARCO)?</w:t>
      </w:r>
    </w:p>
    <w:p w14:paraId="76EDE023" w14:textId="77777777" w:rsidR="00124482" w:rsidRPr="00C55DB3" w:rsidRDefault="00124482" w:rsidP="00124482">
      <w:pPr>
        <w:pBdr>
          <w:top w:val="nil"/>
          <w:left w:val="nil"/>
          <w:bottom w:val="nil"/>
          <w:right w:val="nil"/>
          <w:between w:val="nil"/>
        </w:pBdr>
        <w:ind w:right="49"/>
        <w:jc w:val="both"/>
        <w:rPr>
          <w:rFonts w:ascii="Century Gothic" w:hAnsi="Century Gothic" w:cstheme="minorHAnsi"/>
          <w:color w:val="000000"/>
        </w:rPr>
      </w:pPr>
    </w:p>
    <w:p w14:paraId="1EBC9734" w14:textId="7D47CC29" w:rsidR="00124482" w:rsidRPr="00C55DB3" w:rsidRDefault="00124482" w:rsidP="00124482">
      <w:pPr>
        <w:pBdr>
          <w:top w:val="nil"/>
          <w:left w:val="nil"/>
          <w:bottom w:val="nil"/>
          <w:right w:val="nil"/>
          <w:between w:val="nil"/>
        </w:pBdr>
        <w:ind w:right="49"/>
        <w:jc w:val="both"/>
        <w:rPr>
          <w:rFonts w:ascii="Century Gothic" w:hAnsi="Century Gothic" w:cstheme="minorHAnsi"/>
          <w:color w:val="000000"/>
        </w:rPr>
      </w:pPr>
      <w:r w:rsidRPr="00C55DB3">
        <w:rPr>
          <w:rFonts w:ascii="Century Gothic" w:hAnsi="Century Gothic" w:cstheme="minorHAnsi"/>
          <w:bCs/>
          <w:color w:val="000000"/>
        </w:rPr>
        <w:t>Los derechos de Acceso, Rectificación, Cancelación</w:t>
      </w:r>
      <w:r w:rsidR="00BD497E" w:rsidRPr="00C55DB3">
        <w:rPr>
          <w:rFonts w:ascii="Century Gothic" w:hAnsi="Century Gothic" w:cstheme="minorHAnsi"/>
          <w:bCs/>
          <w:color w:val="000000"/>
        </w:rPr>
        <w:t xml:space="preserve"> y </w:t>
      </w:r>
      <w:r w:rsidRPr="00C55DB3">
        <w:rPr>
          <w:rFonts w:ascii="Century Gothic" w:hAnsi="Century Gothic" w:cstheme="minorHAnsi"/>
          <w:bCs/>
          <w:color w:val="000000"/>
        </w:rPr>
        <w:t xml:space="preserve">Oposición (ARCO) podrán ser ejercidos a través de un escrito libre, que deberá contener nombre, firma y la copia de la identificación oficial de la persona titular de los datos personales, presentado en las oficinas de la Unidad Técnica de Transparencia y Acceso a la Información del IEEPCO, con domicilio en Heroica Escuela Naval Militar #1212, Colonia Reforma, C.P. 68050, </w:t>
      </w:r>
      <w:r w:rsidRPr="00C55DB3">
        <w:rPr>
          <w:rFonts w:ascii="Century Gothic" w:hAnsi="Century Gothic" w:cstheme="minorHAnsi"/>
          <w:bCs/>
          <w:color w:val="000000"/>
        </w:rPr>
        <w:lastRenderedPageBreak/>
        <w:t xml:space="preserve">Oaxaca de Juárez, Oaxaca con horario de atención de 10:00 a 15:00 y 16:00 a 18:00 </w:t>
      </w:r>
      <w:proofErr w:type="spellStart"/>
      <w:r w:rsidRPr="00C55DB3">
        <w:rPr>
          <w:rFonts w:ascii="Century Gothic" w:hAnsi="Century Gothic" w:cstheme="minorHAnsi"/>
          <w:bCs/>
          <w:color w:val="000000"/>
        </w:rPr>
        <w:t>Hrs</w:t>
      </w:r>
      <w:proofErr w:type="spellEnd"/>
      <w:r w:rsidRPr="00C55DB3">
        <w:rPr>
          <w:rFonts w:ascii="Century Gothic" w:hAnsi="Century Gothic" w:cstheme="minorHAnsi"/>
          <w:bCs/>
          <w:color w:val="000000"/>
        </w:rPr>
        <w:t xml:space="preserve">., de lunes a viernes y en días hábiles; o al correo electrónico </w:t>
      </w:r>
      <w:hyperlink r:id="rId8" w:history="1">
        <w:r w:rsidRPr="00C55DB3">
          <w:rPr>
            <w:rStyle w:val="Hipervnculo"/>
            <w:rFonts w:ascii="Century Gothic" w:hAnsi="Century Gothic" w:cstheme="minorHAnsi"/>
            <w:bCs/>
          </w:rPr>
          <w:t>u.transparencia@ieepco.mx</w:t>
        </w:r>
      </w:hyperlink>
      <w:r w:rsidRPr="00C55DB3">
        <w:rPr>
          <w:rFonts w:ascii="Century Gothic" w:hAnsi="Century Gothic" w:cstheme="minorHAnsi"/>
          <w:bCs/>
          <w:color w:val="000000"/>
          <w:u w:val="single"/>
        </w:rPr>
        <w:t>,</w:t>
      </w:r>
      <w:r w:rsidR="00046C2D" w:rsidRPr="00C55DB3">
        <w:rPr>
          <w:rFonts w:ascii="Century Gothic" w:hAnsi="Century Gothic" w:cstheme="minorHAnsi"/>
          <w:bCs/>
          <w:color w:val="000000"/>
          <w:u w:val="single"/>
        </w:rPr>
        <w:t xml:space="preserve"> </w:t>
      </w:r>
      <w:r w:rsidRPr="00C55DB3">
        <w:rPr>
          <w:rFonts w:ascii="Century Gothic" w:hAnsi="Century Gothic" w:cstheme="minorHAnsi"/>
          <w:color w:val="000000"/>
        </w:rPr>
        <w:t xml:space="preserve">o bien comunicarse al teléfono (951) 502 0630 extensiones 213 y 256. De igual manera, podrá ejercer sus derechos ARCO en la Plataforma Nacional de Transparencia (PNT) </w:t>
      </w:r>
      <w:hyperlink r:id="rId9" w:history="1">
        <w:r w:rsidRPr="00C55DB3">
          <w:rPr>
            <w:rStyle w:val="Hipervnculo"/>
            <w:rFonts w:ascii="Century Gothic" w:hAnsi="Century Gothic" w:cstheme="minorHAnsi"/>
          </w:rPr>
          <w:t>http://www.plataformadetransparencia.org.mx/</w:t>
        </w:r>
      </w:hyperlink>
      <w:r w:rsidR="00046C2D" w:rsidRPr="00C55DB3">
        <w:rPr>
          <w:rStyle w:val="Hipervnculo"/>
          <w:rFonts w:ascii="Century Gothic" w:hAnsi="Century Gothic" w:cstheme="minorHAnsi"/>
        </w:rPr>
        <w:t>.</w:t>
      </w:r>
    </w:p>
    <w:p w14:paraId="44015C5D" w14:textId="77777777" w:rsidR="00124482" w:rsidRPr="00C55DB3" w:rsidRDefault="00124482" w:rsidP="00124482">
      <w:pPr>
        <w:pBdr>
          <w:top w:val="nil"/>
          <w:left w:val="nil"/>
          <w:bottom w:val="nil"/>
          <w:right w:val="nil"/>
          <w:between w:val="nil"/>
        </w:pBdr>
        <w:ind w:right="49"/>
        <w:jc w:val="both"/>
        <w:rPr>
          <w:rFonts w:ascii="Century Gothic" w:hAnsi="Century Gothic" w:cstheme="minorHAnsi"/>
          <w:color w:val="000000"/>
        </w:rPr>
      </w:pPr>
    </w:p>
    <w:p w14:paraId="2B21A3D1" w14:textId="034137A7" w:rsidR="00124482" w:rsidRPr="00C55DB3" w:rsidRDefault="00124482" w:rsidP="00124482">
      <w:pPr>
        <w:tabs>
          <w:tab w:val="left" w:pos="1185"/>
        </w:tabs>
        <w:rPr>
          <w:rFonts w:ascii="Century Gothic" w:eastAsia="Arial" w:hAnsi="Century Gothic" w:cstheme="minorHAnsi"/>
        </w:rPr>
      </w:pPr>
      <w:r w:rsidRPr="00C55DB3">
        <w:rPr>
          <w:rFonts w:ascii="Century Gothic" w:hAnsi="Century Gothic" w:cstheme="minorHAnsi"/>
        </w:rPr>
        <w:t xml:space="preserve">Podrá consultar el Aviso de Privacidad Integral en: </w:t>
      </w:r>
      <w:hyperlink r:id="rId10" w:history="1">
        <w:r w:rsidRPr="00C55DB3">
          <w:rPr>
            <w:rStyle w:val="Hipervnculo"/>
            <w:rFonts w:ascii="Century Gothic" w:hAnsi="Century Gothic" w:cstheme="minorHAnsi"/>
          </w:rPr>
          <w:t>https://www.ieepco.org.mx/avisos-de-privacidad</w:t>
        </w:r>
      </w:hyperlink>
    </w:p>
    <w:p w14:paraId="1BE92C4B" w14:textId="77777777" w:rsidR="00C55DB3" w:rsidRPr="00C55DB3" w:rsidRDefault="00C55DB3">
      <w:pPr>
        <w:tabs>
          <w:tab w:val="left" w:pos="1185"/>
        </w:tabs>
        <w:rPr>
          <w:rFonts w:ascii="Century Gothic" w:eastAsia="Arial" w:hAnsi="Century Gothic" w:cstheme="minorHAnsi"/>
        </w:rPr>
      </w:pPr>
    </w:p>
    <w:sectPr w:rsidR="00C55DB3" w:rsidRPr="00C55DB3" w:rsidSect="00BD497E">
      <w:headerReference w:type="default" r:id="rId11"/>
      <w:pgSz w:w="12240" w:h="15840"/>
      <w:pgMar w:top="2694" w:right="1440" w:bottom="156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1EB97A" w14:textId="77777777" w:rsidR="006173C4" w:rsidRDefault="006173C4">
      <w:r>
        <w:separator/>
      </w:r>
    </w:p>
  </w:endnote>
  <w:endnote w:type="continuationSeparator" w:id="0">
    <w:p w14:paraId="09E01DAD" w14:textId="77777777" w:rsidR="006173C4" w:rsidRDefault="00617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eelawadee">
    <w:charset w:val="DE"/>
    <w:family w:val="swiss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5EAA12" w14:textId="77777777" w:rsidR="006173C4" w:rsidRDefault="006173C4">
      <w:r>
        <w:separator/>
      </w:r>
    </w:p>
  </w:footnote>
  <w:footnote w:type="continuationSeparator" w:id="0">
    <w:p w14:paraId="6A5E59F6" w14:textId="77777777" w:rsidR="006173C4" w:rsidRDefault="006173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9FA40A" w14:textId="77777777" w:rsidR="003A062E" w:rsidRDefault="00FE258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  <w:r>
      <w:rPr>
        <w:noProof/>
      </w:rPr>
      <w:drawing>
        <wp:anchor distT="0" distB="0" distL="0" distR="0" simplePos="0" relativeHeight="251659264" behindDoc="1" locked="0" layoutInCell="1" hidden="0" allowOverlap="1" wp14:anchorId="7ED0BD65" wp14:editId="28FECC92">
          <wp:simplePos x="0" y="0"/>
          <wp:positionH relativeFrom="column">
            <wp:posOffset>-962024</wp:posOffset>
          </wp:positionH>
          <wp:positionV relativeFrom="paragraph">
            <wp:posOffset>-352424</wp:posOffset>
          </wp:positionV>
          <wp:extent cx="7771484" cy="10057215"/>
          <wp:effectExtent l="0" t="0" r="0" b="0"/>
          <wp:wrapNone/>
          <wp:docPr id="178726155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71484" cy="100572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838AB"/>
    <w:multiLevelType w:val="multilevel"/>
    <w:tmpl w:val="4DA2CF9A"/>
    <w:lvl w:ilvl="0">
      <w:start w:val="1"/>
      <w:numFmt w:val="decimal"/>
      <w:lvlText w:val="%1."/>
      <w:lvlJc w:val="left"/>
      <w:pPr>
        <w:ind w:left="545" w:hanging="284"/>
      </w:pPr>
      <w:rPr>
        <w:rFonts w:ascii="Leelawadee" w:eastAsia="Leelawadee" w:hAnsi="Leelawadee" w:cs="Leelawadee"/>
        <w:b w:val="0"/>
        <w:i w:val="0"/>
        <w:sz w:val="22"/>
        <w:szCs w:val="22"/>
      </w:rPr>
    </w:lvl>
    <w:lvl w:ilvl="1">
      <w:numFmt w:val="bullet"/>
      <w:lvlText w:val="•"/>
      <w:lvlJc w:val="left"/>
      <w:pPr>
        <w:ind w:left="1422" w:hanging="284"/>
      </w:pPr>
    </w:lvl>
    <w:lvl w:ilvl="2">
      <w:numFmt w:val="bullet"/>
      <w:lvlText w:val="•"/>
      <w:lvlJc w:val="left"/>
      <w:pPr>
        <w:ind w:left="2304" w:hanging="284"/>
      </w:pPr>
    </w:lvl>
    <w:lvl w:ilvl="3">
      <w:numFmt w:val="bullet"/>
      <w:lvlText w:val="•"/>
      <w:lvlJc w:val="left"/>
      <w:pPr>
        <w:ind w:left="3186" w:hanging="283"/>
      </w:pPr>
    </w:lvl>
    <w:lvl w:ilvl="4">
      <w:numFmt w:val="bullet"/>
      <w:lvlText w:val="•"/>
      <w:lvlJc w:val="left"/>
      <w:pPr>
        <w:ind w:left="4068" w:hanging="283"/>
      </w:pPr>
    </w:lvl>
    <w:lvl w:ilvl="5">
      <w:numFmt w:val="bullet"/>
      <w:lvlText w:val="•"/>
      <w:lvlJc w:val="left"/>
      <w:pPr>
        <w:ind w:left="4950" w:hanging="284"/>
      </w:pPr>
    </w:lvl>
    <w:lvl w:ilvl="6">
      <w:numFmt w:val="bullet"/>
      <w:lvlText w:val="•"/>
      <w:lvlJc w:val="left"/>
      <w:pPr>
        <w:ind w:left="5832" w:hanging="283"/>
      </w:pPr>
    </w:lvl>
    <w:lvl w:ilvl="7">
      <w:numFmt w:val="bullet"/>
      <w:lvlText w:val="•"/>
      <w:lvlJc w:val="left"/>
      <w:pPr>
        <w:ind w:left="6714" w:hanging="284"/>
      </w:pPr>
    </w:lvl>
    <w:lvl w:ilvl="8">
      <w:numFmt w:val="bullet"/>
      <w:lvlText w:val="•"/>
      <w:lvlJc w:val="left"/>
      <w:pPr>
        <w:ind w:left="7596" w:hanging="284"/>
      </w:pPr>
    </w:lvl>
  </w:abstractNum>
  <w:abstractNum w:abstractNumId="1" w15:restartNumberingAfterBreak="0">
    <w:nsid w:val="06ED6A1E"/>
    <w:multiLevelType w:val="hybridMultilevel"/>
    <w:tmpl w:val="AABEE7E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641B47"/>
    <w:multiLevelType w:val="hybridMultilevel"/>
    <w:tmpl w:val="430EEF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82F5E"/>
    <w:multiLevelType w:val="hybridMultilevel"/>
    <w:tmpl w:val="D422C9B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5866123">
    <w:abstractNumId w:val="0"/>
  </w:num>
  <w:num w:numId="2" w16cid:durableId="1618096563">
    <w:abstractNumId w:val="3"/>
  </w:num>
  <w:num w:numId="3" w16cid:durableId="1942376421">
    <w:abstractNumId w:val="2"/>
  </w:num>
  <w:num w:numId="4" w16cid:durableId="11063832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062E"/>
    <w:rsid w:val="00046C2D"/>
    <w:rsid w:val="000E001D"/>
    <w:rsid w:val="000E4EDB"/>
    <w:rsid w:val="00124482"/>
    <w:rsid w:val="0013592C"/>
    <w:rsid w:val="0016583A"/>
    <w:rsid w:val="002C0C63"/>
    <w:rsid w:val="003A062E"/>
    <w:rsid w:val="00452A97"/>
    <w:rsid w:val="00582BB1"/>
    <w:rsid w:val="006173C4"/>
    <w:rsid w:val="0080625E"/>
    <w:rsid w:val="00823275"/>
    <w:rsid w:val="008A3E67"/>
    <w:rsid w:val="00B22D8B"/>
    <w:rsid w:val="00B657F7"/>
    <w:rsid w:val="00BD497E"/>
    <w:rsid w:val="00C55DB3"/>
    <w:rsid w:val="00DD2C00"/>
    <w:rsid w:val="00E8603C"/>
    <w:rsid w:val="00ED65DC"/>
    <w:rsid w:val="00F0757D"/>
    <w:rsid w:val="00F15B93"/>
    <w:rsid w:val="00FE2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F6DB1"/>
  <w15:docId w15:val="{EC5A8DF9-B0F5-4088-8CCE-0045864A2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eelawadee" w:eastAsia="Leelawadee" w:hAnsi="Leelawadee" w:cs="Leelawadee"/>
        <w:sz w:val="22"/>
        <w:szCs w:val="22"/>
        <w:lang w:val="es" w:eastAsia="es-MX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spacing w:before="312"/>
      <w:ind w:left="262"/>
      <w:outlineLvl w:val="0"/>
    </w:pPr>
    <w:rPr>
      <w:rFonts w:ascii="Trebuchet MS" w:eastAsia="Trebuchet MS" w:hAnsi="Trebuchet MS" w:cs="Trebuchet MS"/>
      <w:b/>
      <w:sz w:val="28"/>
      <w:szCs w:val="2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pPr>
      <w:ind w:left="262"/>
    </w:pPr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spacing w:before="242"/>
      <w:ind w:left="545" w:hanging="284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tulo1Car">
    <w:name w:val="Título 1 Car"/>
    <w:basedOn w:val="Fuentedeprrafopredeter"/>
    <w:uiPriority w:val="9"/>
    <w:rsid w:val="00CE0C85"/>
    <w:rPr>
      <w:rFonts w:ascii="Trebuchet MS" w:eastAsia="Trebuchet MS" w:hAnsi="Trebuchet MS" w:cs="Trebuchet MS"/>
      <w:b/>
      <w:bCs/>
      <w:sz w:val="28"/>
      <w:szCs w:val="28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E0C85"/>
    <w:rPr>
      <w:rFonts w:ascii="Leelawadee UI" w:eastAsia="Leelawadee UI" w:hAnsi="Leelawadee UI" w:cs="Leelawadee UI"/>
      <w:sz w:val="24"/>
      <w:szCs w:val="24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2D584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D584B"/>
    <w:rPr>
      <w:rFonts w:ascii="Leelawadee UI" w:eastAsia="Leelawadee UI" w:hAnsi="Leelawadee UI" w:cs="Leelawadee U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2D584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D584B"/>
    <w:rPr>
      <w:rFonts w:ascii="Leelawadee UI" w:eastAsia="Leelawadee UI" w:hAnsi="Leelawadee UI" w:cs="Leelawadee UI"/>
      <w:lang w:val="es-ES"/>
    </w:rPr>
  </w:style>
  <w:style w:type="character" w:styleId="Hipervnculo">
    <w:name w:val="Hyperlink"/>
    <w:basedOn w:val="Fuentedeprrafopredeter"/>
    <w:uiPriority w:val="99"/>
    <w:unhideWhenUsed/>
    <w:rsid w:val="00E17620"/>
    <w:rPr>
      <w:color w:val="0000FF" w:themeColor="hyperlink"/>
      <w:u w:val="single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Mencinsinresolver">
    <w:name w:val="Unresolved Mention"/>
    <w:basedOn w:val="Fuentedeprrafopredeter"/>
    <w:uiPriority w:val="99"/>
    <w:semiHidden/>
    <w:unhideWhenUsed/>
    <w:rsid w:val="001658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.transparencia@ieepco.m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ieepco.org.mx/avisos-de-privacidad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ataformadetransparencia.org.mx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2pJ1hPVStQcJ7D3XoCGTMGSmiyQ==">CgMxLjA4AHIhMS1peDdrMTFKZnpsa1RESy1nM1BhR3RNQ09lUFBhdkhv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449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Alejandra Silva</cp:lastModifiedBy>
  <cp:revision>3</cp:revision>
  <dcterms:created xsi:type="dcterms:W3CDTF">2025-10-09T18:25:00Z</dcterms:created>
  <dcterms:modified xsi:type="dcterms:W3CDTF">2025-10-09T19:35:00Z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2024-01-26T00:00:00Z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2025-03-20T00:00:00Z</vt:filetime>
  </property>
  <property fmtid="{D5CDD505-2E9C-101B-9397-08002B2CF9AE}" pid="5" name="Producer">
    <vt:lpwstr>Microsoft® Word para Microsoft 365</vt:lpwstr>
  </property>
</Properties>
</file>